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Checklist para empezar tu marca desde cero</w:t>
      </w:r>
    </w:p>
    <w:p>
      <w:r>
        <w:t>Guía cortesía de Studio Sananikone.</w:t>
        <w:br/>
      </w:r>
    </w:p>
    <w:p>
      <w:r>
        <w:t>✅ Define tu idea: qué problema solucionas y a quién.</w:t>
      </w:r>
    </w:p>
    <w:p>
      <w:r>
        <w:t>✅ Elige un nombre coherente y fácil de recordar.</w:t>
      </w:r>
    </w:p>
    <w:p>
      <w:r>
        <w:t>✅ Comprueba disponibilidad de dominio y redes.</w:t>
      </w:r>
    </w:p>
    <w:p>
      <w:r>
        <w:t>✅ Diseña tu logotipo y paleta de color básica.</w:t>
      </w:r>
    </w:p>
    <w:p>
      <w:r>
        <w:t>✅ Define el tono de tu comunicación (profesional, cercana, divertida, etc.).</w:t>
      </w:r>
    </w:p>
    <w:p>
      <w:r>
        <w:t>✅ Crea tus primeras plantillas para redes sociales.</w:t>
      </w:r>
    </w:p>
    <w:p>
      <w:r>
        <w:t>✅ Escribe tu presentación o historia de marca.</w:t>
      </w:r>
    </w:p>
    <w:p>
      <w:r>
        <w:t>✅ Lanza tu primera página web o landing.</w:t>
      </w:r>
    </w:p>
    <w:p>
      <w:r>
        <w:t>✅ Abre tus perfiles profesionales en redes.</w:t>
      </w:r>
    </w:p>
    <w:p>
      <w:r>
        <w:t>✅ Empieza a publicar contenido útil y coherente.</w:t>
      </w:r>
    </w:p>
    <w:p>
      <w:r>
        <w:t>✅ Revisa ayudas y subvenciones según tu comunidad.</w:t>
      </w:r>
    </w:p>
    <w:p>
      <w:r>
        <w:t>✅ Calcula tus gastos fijos y posibles ingresos.</w:t>
      </w:r>
    </w:p>
    <w:p>
      <w:r>
        <w:t>✅ Si puedes, busca asesoría profesional para tu branding y comunicación.</w:t>
      </w:r>
    </w:p>
    <w:p>
      <w:r>
        <w:t>✅ Mantén constancia y mejora tu marca poco a poco.</w:t>
      </w:r>
    </w:p>
    <w:p>
      <w:r>
        <w:br/>
        <w:t>Studio Sananikone · Diseño gráfico, branding, web y comunicación para emprendedores.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